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0" w:line="264" w:lineRule="auto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INTRODUCTION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4"/>
          <w:szCs w:val="24"/>
          <w:rtl w:val="0"/>
          <w:lang w:val="de-DE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LA PEINTURE HOLLANDAISE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Arial" w:hAnsi="Arial"/>
          <w:i w:val="0"/>
          <w:iCs w:val="0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de Paul Claudel </w:t>
      </w: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A propos de la Ronde de Nuit de Rembrandt </w:t>
      </w: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Un arrangement en train de se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sagr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ger, mais c'est l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, avec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vidence, toute l'explication de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la Ronde de nuit. Toute la composition d'avant en arri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re est faite sur le principe d'un mouvement de plus en plus acc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, comme d'un talus de sable qui s'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croule. Les deux personnages du premier plan sont en marche, ceux de la seconde ligne ont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mis le pied en avant, ceux du fond ne font encore que mesurer du regard le chemin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parcourir dont le philosophe lat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ral indique de la main la direction, mais,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, comme des grains plus 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gers qui se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de-DE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tachent,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droite le gamin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la poire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poudre et le petit chien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gauche se sont mis au galop. La pique dans la main du capitaine solaire joue le m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me 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le que tout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l'heure le vin dans le verre (repr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sentant la puissance d'oscillation) et la pelure de citron, elle sert pour ainsi dire de balancier et de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gulateur latent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ce mouvement qui anime l'ensemble. Les trois arquebusiers rouges sur la seconde ligne, l'un qui charge son arme, l'autre comme tapi et embusqu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derri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re son chef, c'est l'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branlement vers une aventure dont l'on voit bien qu'elle comporte des dangers. Mais comment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sister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l'imagination, cette f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e lumineuse, cette p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n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trante messag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re de l'au-del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, qui porte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la ceinture, en tant que lettres de cr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ance, une colombe ? Et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devant elle son acolyte masqu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s'est fray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un passage vers l'int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rieur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travers le groupe des chevaliers de l'aventure dont, au-dessus de lui un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tincelant gentilhomme, couleur de mer, arbore fi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rement le drapeau ray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de rouge et de noir. Mais, au fond,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bouchant parmi de fortes architectures d'un sombre porche, l'arri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re-garde immobile par-dessus la 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te de ses compagnons qui de degr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en degr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ont fait le pas en avant, envisage et mesure l'avenir : c'est pour y toucher plus 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t sans doute qu'ils se sont munis de ces longues piques ! On voit briller des casques, un hausse-col, une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charpe, un corset de soie. Il n'est pas jusqu'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ce haut chapeau sur la 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te d'un personnage falot qui n'ait l'air d'un phare, d'une tour d'observation. Les spectateurs bient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t, on sent qu'ils vont se transformer en acteurs, ils sont pr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ts, le tambour roule, car cette page emprunt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e aux plus sombres officines du songe est cependant pleine d'un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trange bruit muet : le tambour, l'aboiement du petit chien, cette parole sur la l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vre fleurie du capitaine Cock, cette conversation d'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il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à œ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il entre les 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moins de droite, ce coup de fusil et celui, futur, que l'arquebusier de gauche empile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cautionneusement au fond de son arme. On part !</w:t>
      </w: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 </w:t>
      </w: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L'</w:t>
      </w:r>
      <w:r>
        <w:rPr>
          <w:rFonts w:ascii="Arial" w:hAnsi="Arial" w:hint="default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 xml:space="preserve">il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coute.</w:t>
      </w: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Œ</w:t>
      </w:r>
      <w:r>
        <w:rPr>
          <w:rFonts w:ascii="Arial" w:hAnsi="Arial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uvres en Prose. Gallimard, Pl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fr-FR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iade, p.</w:t>
      </w:r>
      <w:r>
        <w:rPr>
          <w:rFonts w:ascii="Arial" w:hAnsi="Arial" w:hint="default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  <w:t>202-203</w:t>
      </w: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0" w:line="264" w:lineRule="auto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i w:val="1"/>
          <w:iCs w:val="1"/>
          <w:sz w:val="24"/>
          <w:szCs w:val="24"/>
          <w:rtl w:val="0"/>
          <w14:textOutline w14:w="0" w14:cap="flat">
            <w14:solidFill>
              <w14:srgbClr w14:val="3A3A3A"/>
            </w14:solidFill>
            <w14:prstDash w14:val="solid"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